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margin" w:tblpY="1396"/>
        <w:tblW w:w="13958" w:type="dxa"/>
        <w:tblInd w:w="0" w:type="dxa"/>
        <w:tblLayout w:type="fixed"/>
        <w:tblCellMar>
          <w:top w:w="0" w:type="dxa"/>
          <w:left w:w="108" w:type="dxa"/>
          <w:bottom w:w="0" w:type="dxa"/>
          <w:right w:w="108" w:type="dxa"/>
        </w:tblCellMar>
      </w:tblPr>
      <w:tblGrid>
        <w:gridCol w:w="7831"/>
        <w:gridCol w:w="6127"/>
      </w:tblGrid>
      <w:tr w14:paraId="1902F574">
        <w:tblPrEx>
          <w:tblCellMar>
            <w:top w:w="0" w:type="dxa"/>
            <w:left w:w="108" w:type="dxa"/>
            <w:bottom w:w="0" w:type="dxa"/>
            <w:right w:w="108" w:type="dxa"/>
          </w:tblCellMar>
        </w:tblPrEx>
        <w:tc>
          <w:tcPr>
            <w:tcW w:w="7831" w:type="dxa"/>
          </w:tcPr>
          <w:p w14:paraId="3AC5973C">
            <w:pPr>
              <w:overflowPunct w:val="0"/>
              <w:autoSpaceDE w:val="0"/>
              <w:autoSpaceDN w:val="0"/>
              <w:adjustRightInd w:val="0"/>
              <w:jc w:val="center"/>
              <w:rPr>
                <w:rFonts w:eastAsia="Times New Roman"/>
                <w:sz w:val="26"/>
                <w:szCs w:val="26"/>
                <w:lang w:eastAsia="en-US"/>
              </w:rPr>
            </w:pPr>
            <w:r>
              <w:rPr>
                <w:rFonts w:eastAsia="Times New Roman"/>
                <w:sz w:val="26"/>
                <w:szCs w:val="26"/>
              </w:rPr>
              <w:t>UBND TỈNH NINH BÌNH</w:t>
            </w:r>
          </w:p>
          <w:p w14:paraId="448A26B5">
            <w:pPr>
              <w:overflowPunct w:val="0"/>
              <w:autoSpaceDE w:val="0"/>
              <w:autoSpaceDN w:val="0"/>
              <w:adjustRightInd w:val="0"/>
              <w:jc w:val="center"/>
              <w:rPr>
                <w:rFonts w:eastAsia="Times New Roman"/>
                <w:b/>
                <w:lang w:eastAsia="en-US"/>
              </w:rPr>
            </w:pPr>
            <w:r>
              <w:rPr>
                <w:b/>
                <w:lang w:val="en-US" w:eastAsia="en-US"/>
              </w:rPr>
              <mc:AlternateContent>
                <mc:Choice Requires="wps">
                  <w:drawing>
                    <wp:anchor distT="0" distB="0" distL="114300" distR="114300" simplePos="0" relativeHeight="251660288" behindDoc="0" locked="0" layoutInCell="1" allowOverlap="1">
                      <wp:simplePos x="0" y="0"/>
                      <wp:positionH relativeFrom="column">
                        <wp:posOffset>2025650</wp:posOffset>
                      </wp:positionH>
                      <wp:positionV relativeFrom="paragraph">
                        <wp:posOffset>184785</wp:posOffset>
                      </wp:positionV>
                      <wp:extent cx="680720" cy="0"/>
                      <wp:effectExtent l="0" t="0" r="24765" b="19050"/>
                      <wp:wrapNone/>
                      <wp:docPr id="3" name="Straight Connector 3"/>
                      <wp:cNvGraphicFramePr/>
                      <a:graphic xmlns:a="http://schemas.openxmlformats.org/drawingml/2006/main">
                        <a:graphicData uri="http://schemas.microsoft.com/office/word/2010/wordprocessingShape">
                          <wps:wsp>
                            <wps:cNvCnPr>
                              <a:cxnSpLocks noChangeShapeType="1"/>
                            </wps:cNvCnPr>
                            <wps:spPr bwMode="auto">
                              <a:xfrm>
                                <a:off x="0" y="0"/>
                                <a:ext cx="680601"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59.5pt;margin-top:14.55pt;height:0pt;width:53.6pt;z-index:251660288;mso-width-relative:page;mso-height-relative:page;" filled="f" stroked="t" coordsize="21600,21600" o:gfxdata="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JDpHNcAAAAJAQAADwAAAAAAAAABACAAAAAi&#10;AAAAZHJzL2Rvd25yZXYueG1sUEsBAhQAFAAAAAgAh07iQNRBlyjSAQAArAMAAA4AAAAAAAAAAQAg&#10;AAAAJgEAAGRycy9lMm9Eb2MueG1sUEsFBgAAAAAGAAYAWQEAAGoFAAAAAA==&#10;">
                      <v:fill on="f" focussize="0,0"/>
                      <v:stroke color="#000000" joinstyle="round"/>
                      <v:imagedata o:title=""/>
                      <o:lock v:ext="edit" aspectratio="f"/>
                    </v:line>
                  </w:pict>
                </mc:Fallback>
              </mc:AlternateContent>
            </w:r>
            <w:r>
              <w:rPr>
                <w:rFonts w:eastAsia="Times New Roman"/>
                <w:b/>
                <w:sz w:val="26"/>
                <w:szCs w:val="26"/>
              </w:rPr>
              <w:t>SỞ TÀI CHÍNH</w:t>
            </w:r>
          </w:p>
        </w:tc>
        <w:tc>
          <w:tcPr>
            <w:tcW w:w="6127" w:type="dxa"/>
          </w:tcPr>
          <w:p w14:paraId="7192C055">
            <w:pPr>
              <w:overflowPunct w:val="0"/>
              <w:autoSpaceDE w:val="0"/>
              <w:autoSpaceDN w:val="0"/>
              <w:adjustRightInd w:val="0"/>
              <w:jc w:val="center"/>
              <w:rPr>
                <w:rFonts w:eastAsia="Times New Roman"/>
                <w:b/>
                <w:sz w:val="26"/>
                <w:szCs w:val="26"/>
                <w:lang w:eastAsia="en-US"/>
              </w:rPr>
            </w:pPr>
            <w:r>
              <w:rPr>
                <w:rFonts w:eastAsia="Times New Roman"/>
                <w:b/>
                <w:sz w:val="26"/>
                <w:szCs w:val="26"/>
              </w:rPr>
              <w:t>CỘNG HOÀ XÃ HỘI CHỦ NGHĨA VIỆT NAM</w:t>
            </w:r>
          </w:p>
          <w:p w14:paraId="7D884A4F">
            <w:pPr>
              <w:overflowPunct w:val="0"/>
              <w:autoSpaceDE w:val="0"/>
              <w:autoSpaceDN w:val="0"/>
              <w:adjustRightInd w:val="0"/>
              <w:ind w:left="4070" w:hanging="4070"/>
              <w:jc w:val="center"/>
              <w:rPr>
                <w:rFonts w:eastAsia="Times New Roman"/>
                <w:b/>
                <w:lang w:eastAsia="en-US"/>
              </w:rPr>
            </w:pPr>
            <w:r>
              <w:rPr>
                <w:rFonts w:eastAsia="Times New Roman"/>
                <w:b/>
              </w:rPr>
              <w:t>Độc lập - Tự do - Hạnh phúc</w:t>
            </w:r>
          </w:p>
        </w:tc>
      </w:tr>
      <w:tr w14:paraId="2F9A67D1">
        <w:tblPrEx>
          <w:tblCellMar>
            <w:top w:w="0" w:type="dxa"/>
            <w:left w:w="108" w:type="dxa"/>
            <w:bottom w:w="0" w:type="dxa"/>
            <w:right w:w="108" w:type="dxa"/>
          </w:tblCellMar>
        </w:tblPrEx>
        <w:tc>
          <w:tcPr>
            <w:tcW w:w="7831" w:type="dxa"/>
          </w:tcPr>
          <w:p w14:paraId="3C4C83BF">
            <w:pPr>
              <w:overflowPunct w:val="0"/>
              <w:autoSpaceDE w:val="0"/>
              <w:autoSpaceDN w:val="0"/>
              <w:adjustRightInd w:val="0"/>
              <w:jc w:val="center"/>
              <w:rPr>
                <w:b/>
                <w:lang w:eastAsia="en-US"/>
              </w:rPr>
            </w:pPr>
          </w:p>
          <w:p w14:paraId="0277B17A">
            <w:pPr>
              <w:overflowPunct w:val="0"/>
              <w:autoSpaceDE w:val="0"/>
              <w:autoSpaceDN w:val="0"/>
              <w:adjustRightInd w:val="0"/>
              <w:jc w:val="center"/>
              <w:rPr>
                <w:bCs/>
                <w:sz w:val="26"/>
                <w:szCs w:val="26"/>
              </w:rPr>
            </w:pPr>
          </w:p>
          <w:p w14:paraId="24304FF0">
            <w:pPr>
              <w:overflowPunct w:val="0"/>
              <w:autoSpaceDE w:val="0"/>
              <w:autoSpaceDN w:val="0"/>
              <w:adjustRightInd w:val="0"/>
              <w:jc w:val="center"/>
              <w:rPr>
                <w:bCs/>
                <w:sz w:val="26"/>
                <w:szCs w:val="26"/>
              </w:rPr>
            </w:pPr>
          </w:p>
        </w:tc>
        <w:tc>
          <w:tcPr>
            <w:tcW w:w="6127" w:type="dxa"/>
          </w:tcPr>
          <w:p w14:paraId="46BB201F">
            <w:pPr>
              <w:overflowPunct w:val="0"/>
              <w:autoSpaceDE w:val="0"/>
              <w:autoSpaceDN w:val="0"/>
              <w:adjustRightInd w:val="0"/>
              <w:jc w:val="center"/>
              <w:rPr>
                <w:b/>
                <w:lang w:eastAsia="en-US"/>
              </w:rPr>
            </w:pPr>
            <w:r>
              <w:rPr>
                <w:b/>
                <w:lang w:val="en-US" w:eastAsia="en-US"/>
              </w:rPr>
              <mc:AlternateContent>
                <mc:Choice Requires="wps">
                  <w:drawing>
                    <wp:anchor distT="0" distB="0" distL="114300" distR="114300" simplePos="0" relativeHeight="251661312" behindDoc="0" locked="0" layoutInCell="1" allowOverlap="1">
                      <wp:simplePos x="0" y="0"/>
                      <wp:positionH relativeFrom="column">
                        <wp:posOffset>787400</wp:posOffset>
                      </wp:positionH>
                      <wp:positionV relativeFrom="paragraph">
                        <wp:posOffset>30480</wp:posOffset>
                      </wp:positionV>
                      <wp:extent cx="2190750" cy="0"/>
                      <wp:effectExtent l="9525" t="11430" r="9525" b="7620"/>
                      <wp:wrapNone/>
                      <wp:docPr id="2"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62pt;margin-top:2.4pt;height:0pt;width:172.5pt;z-index:251661312;mso-width-relative:page;mso-height-relative:page;" filled="f" stroked="t" coordsize="21600,21600" o:gfxdata="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&#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NPsV10wAAAAcBAAAPAAAAAAAAAAEAIAAAACIAAABk&#10;cnMvZG93bnJldi54bWxQSwECFAAUAAAACACHTuJA6/lLM9IBAACtAwAADgAAAAAAAAABACAAAAAi&#10;AQAAZHJzL2Uyb0RvYy54bWxQSwUGAAAAAAYABgBZAQAAZgUAAAAA&#10;">
                      <v:fill on="f" focussize="0,0"/>
                      <v:stroke color="#000000" joinstyle="round"/>
                      <v:imagedata o:title=""/>
                      <o:lock v:ext="edit" aspectratio="f"/>
                    </v:line>
                  </w:pict>
                </mc:Fallback>
              </mc:AlternateContent>
            </w:r>
          </w:p>
          <w:p w14:paraId="0A8494D0">
            <w:pPr>
              <w:overflowPunct w:val="0"/>
              <w:autoSpaceDE w:val="0"/>
              <w:autoSpaceDN w:val="0"/>
              <w:adjustRightInd w:val="0"/>
              <w:jc w:val="center"/>
              <w:rPr>
                <w:bCs/>
                <w:i/>
                <w:sz w:val="26"/>
                <w:szCs w:val="26"/>
                <w:lang w:eastAsia="en-US"/>
              </w:rPr>
            </w:pPr>
            <w:r>
              <w:rPr>
                <w:bCs/>
                <w:i/>
                <w:sz w:val="26"/>
                <w:szCs w:val="26"/>
                <w:lang w:eastAsia="en-US"/>
              </w:rPr>
              <w:t xml:space="preserve">Ninh Bình, ngày </w:t>
            </w:r>
            <w:r>
              <w:rPr>
                <w:rFonts w:hint="default"/>
                <w:bCs/>
                <w:i/>
                <w:sz w:val="26"/>
                <w:szCs w:val="26"/>
                <w:lang w:val="en-US" w:eastAsia="en-US"/>
              </w:rPr>
              <w:t xml:space="preserve">  </w:t>
            </w:r>
            <w:r>
              <w:rPr>
                <w:bCs/>
                <w:i/>
                <w:sz w:val="26"/>
                <w:szCs w:val="26"/>
                <w:lang w:eastAsia="en-US"/>
              </w:rPr>
              <w:t xml:space="preserve">   </w:t>
            </w:r>
            <w:r>
              <w:rPr>
                <w:rFonts w:hint="default"/>
                <w:bCs/>
                <w:i/>
                <w:sz w:val="26"/>
                <w:szCs w:val="26"/>
                <w:lang w:val="en-US" w:eastAsia="en-US"/>
              </w:rPr>
              <w:t xml:space="preserve"> </w:t>
            </w:r>
            <w:r>
              <w:rPr>
                <w:bCs/>
                <w:i/>
                <w:sz w:val="26"/>
                <w:szCs w:val="26"/>
                <w:lang w:eastAsia="en-US"/>
              </w:rPr>
              <w:t xml:space="preserve">  tháng  </w:t>
            </w:r>
            <w:r>
              <w:rPr>
                <w:rFonts w:hint="default"/>
                <w:bCs/>
                <w:i/>
                <w:sz w:val="26"/>
                <w:szCs w:val="26"/>
                <w:lang w:val="en-US" w:eastAsia="en-US"/>
              </w:rPr>
              <w:t xml:space="preserve"> 6 </w:t>
            </w:r>
            <w:r>
              <w:rPr>
                <w:bCs/>
                <w:i/>
                <w:sz w:val="26"/>
                <w:szCs w:val="26"/>
                <w:lang w:eastAsia="en-US"/>
              </w:rPr>
              <w:t xml:space="preserve">  năm 2026</w:t>
            </w:r>
          </w:p>
        </w:tc>
      </w:tr>
    </w:tbl>
    <w:p w14:paraId="4B5043BD">
      <w:pPr>
        <w:jc w:val="center"/>
        <w:rPr>
          <w:b/>
          <w:lang w:eastAsia="vi-VN" w:bidi="vi-VN"/>
        </w:rPr>
      </w:pPr>
      <w:r>
        <w:rPr>
          <w:b/>
          <w:lang w:eastAsia="vi-VN" w:bidi="vi-VN"/>
        </w:rPr>
        <w:t>BẢN SO SÁNH THUYẾT MINH DỰ THẢO QUYẾT ĐỊNH</w:t>
      </w:r>
    </w:p>
    <w:p w14:paraId="497A767A">
      <w:pPr>
        <w:jc w:val="center"/>
        <w:rPr>
          <w:rFonts w:hint="eastAsia" w:ascii="Times New Roman Bold" w:hAnsi="Times New Roman Bold"/>
          <w:b/>
          <w:spacing w:val="-4"/>
        </w:rPr>
      </w:pPr>
      <w:r>
        <w:rPr>
          <w:rFonts w:ascii="Times New Roman Bold" w:hAnsi="Times New Roman Bold"/>
          <w:b/>
          <w:spacing w:val="-4"/>
        </w:rPr>
        <w:t xml:space="preserve">Quy định chính sách ưu đãi (miễn, giảm) tiền thuê nhà cho các đối </w:t>
      </w:r>
    </w:p>
    <w:p w14:paraId="35787549">
      <w:pPr>
        <w:jc w:val="center"/>
        <w:rPr>
          <w:rFonts w:hint="eastAsia" w:ascii="Times New Roman Bold" w:hAnsi="Times New Roman Bold"/>
          <w:b/>
          <w:spacing w:val="-4"/>
        </w:rPr>
      </w:pPr>
      <w:r>
        <w:rPr>
          <w:lang w:val="en-US" w:eastAsia="en-US"/>
        </w:rPr>
        <mc:AlternateContent>
          <mc:Choice Requires="wps">
            <w:drawing>
              <wp:anchor distT="0" distB="0" distL="114300" distR="114300" simplePos="0" relativeHeight="251659264" behindDoc="0" locked="0" layoutInCell="1" allowOverlap="1">
                <wp:simplePos x="0" y="0"/>
                <wp:positionH relativeFrom="margin">
                  <wp:posOffset>3740785</wp:posOffset>
                </wp:positionH>
                <wp:positionV relativeFrom="paragraph">
                  <wp:posOffset>203200</wp:posOffset>
                </wp:positionV>
                <wp:extent cx="1715770" cy="0"/>
                <wp:effectExtent l="0" t="0" r="36830" b="19050"/>
                <wp:wrapNone/>
                <wp:docPr id="1" name="Straight Arrow Connector 1"/>
                <wp:cNvGraphicFramePr/>
                <a:graphic xmlns:a="http://schemas.openxmlformats.org/drawingml/2006/main">
                  <a:graphicData uri="http://schemas.microsoft.com/office/word/2010/wordprocessingShape">
                    <wps:wsp>
                      <wps:cNvCnPr>
                        <a:cxnSpLocks noChangeShapeType="1"/>
                      </wps:cNvCnPr>
                      <wps:spPr bwMode="auto">
                        <a:xfrm>
                          <a:off x="0" y="0"/>
                          <a:ext cx="171577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4.55pt;margin-top:16pt;height:0pt;width:135.1pt;mso-position-horizontal-relative:margin;z-index:251659264;mso-width-relative:page;mso-height-relative:page;" filled="f" stroked="t" coordsize="21600,21600" o:gfxdata="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hnsftcAAAAJAQAADwAAAAAAAAAB&#10;ACAAAAAiAAAAZHJzL2Rvd25yZXYueG1sUEsBAhQAFAAAAAgAh07iQKOf723YAQAAwQMAAA4AAAAA&#10;AAAAAQAgAAAAJgEAAGRycy9lMm9Eb2MueG1sUEsFBgAAAAAGAAYAWQEAAHAFAAAAAA==&#10;">
                <v:fill on="f" focussize="0,0"/>
                <v:stroke color="#000000" joinstyle="round"/>
                <v:imagedata o:title=""/>
                <o:lock v:ext="edit" aspectratio="f"/>
              </v:shape>
            </w:pict>
          </mc:Fallback>
        </mc:AlternateContent>
      </w:r>
      <w:r>
        <w:rPr>
          <w:rFonts w:ascii="Times New Roman Bold" w:hAnsi="Times New Roman Bold"/>
          <w:b/>
          <w:spacing w:val="-4"/>
        </w:rPr>
        <w:t>tượng ưu tiên trên địa bàn tỉnh Ninh Bình</w:t>
      </w:r>
    </w:p>
    <w:p w14:paraId="07ACA563">
      <w:pPr>
        <w:jc w:val="center"/>
        <w:rPr>
          <w:rFonts w:hint="eastAsia" w:ascii="Times New Roman Bold" w:hAnsi="Times New Roman Bold"/>
          <w:b/>
        </w:rPr>
      </w:pPr>
    </w:p>
    <w:p w14:paraId="2FF34E25">
      <w:pPr>
        <w:jc w:val="center"/>
        <w:outlineLvl w:val="7"/>
        <w:rPr>
          <w:rFonts w:eastAsia="Times New Roman"/>
          <w:b/>
          <w:iCs/>
          <w:lang w:val="en-US" w:eastAsia="en-GB"/>
        </w:rPr>
      </w:pPr>
    </w:p>
    <w:tbl>
      <w:tblPr>
        <w:tblStyle w:val="6"/>
        <w:tblW w:w="14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5244"/>
        <w:gridCol w:w="4678"/>
      </w:tblGrid>
      <w:tr w14:paraId="6C14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531" w:type="dxa"/>
          </w:tcPr>
          <w:p w14:paraId="27C1837C">
            <w:pPr>
              <w:keepNext w:val="0"/>
              <w:keepLines w:val="0"/>
              <w:pageBreakBefore w:val="0"/>
              <w:widowControl/>
              <w:kinsoku/>
              <w:wordWrap/>
              <w:overflowPunct/>
              <w:topLinePunct w:val="0"/>
              <w:autoSpaceDE/>
              <w:autoSpaceDN/>
              <w:bidi w:val="0"/>
              <w:adjustRightInd/>
              <w:snapToGrid/>
              <w:spacing w:after="0"/>
              <w:textAlignment w:val="auto"/>
              <w:rPr>
                <w:b/>
                <w:sz w:val="26"/>
                <w:szCs w:val="26"/>
                <w:lang w:val="nl-NL"/>
              </w:rPr>
            </w:pPr>
            <w:r>
              <w:rPr>
                <w:sz w:val="26"/>
                <w:szCs w:val="26"/>
                <w:lang w:eastAsia="vi-VN" w:bidi="vi-VN"/>
              </w:rPr>
              <w:t xml:space="preserve">        </w:t>
            </w:r>
            <w:r>
              <w:rPr>
                <w:b/>
                <w:sz w:val="26"/>
                <w:szCs w:val="26"/>
                <w:lang w:val="nl-NL"/>
              </w:rPr>
              <w:t>Quy phạm pháp luật hiện hành</w:t>
            </w:r>
          </w:p>
        </w:tc>
        <w:tc>
          <w:tcPr>
            <w:tcW w:w="5244" w:type="dxa"/>
          </w:tcPr>
          <w:p w14:paraId="56B8A59C">
            <w:pPr>
              <w:keepNext w:val="0"/>
              <w:keepLines w:val="0"/>
              <w:pageBreakBefore w:val="0"/>
              <w:widowControl/>
              <w:kinsoku/>
              <w:wordWrap/>
              <w:overflowPunct/>
              <w:topLinePunct w:val="0"/>
              <w:autoSpaceDE/>
              <w:autoSpaceDN/>
              <w:bidi w:val="0"/>
              <w:adjustRightInd/>
              <w:snapToGrid/>
              <w:spacing w:after="0"/>
              <w:jc w:val="center"/>
              <w:textAlignment w:val="auto"/>
              <w:rPr>
                <w:b/>
                <w:sz w:val="26"/>
                <w:szCs w:val="26"/>
                <w:lang w:val="nl-NL"/>
              </w:rPr>
            </w:pPr>
            <w:r>
              <w:rPr>
                <w:b/>
                <w:sz w:val="26"/>
                <w:szCs w:val="26"/>
                <w:lang w:val="nl-NL"/>
              </w:rPr>
              <w:t>Dự thảo Văn bản</w:t>
            </w:r>
          </w:p>
        </w:tc>
        <w:tc>
          <w:tcPr>
            <w:tcW w:w="4678" w:type="dxa"/>
          </w:tcPr>
          <w:p w14:paraId="3768F5E5">
            <w:pPr>
              <w:keepNext w:val="0"/>
              <w:keepLines w:val="0"/>
              <w:pageBreakBefore w:val="0"/>
              <w:widowControl/>
              <w:kinsoku/>
              <w:wordWrap/>
              <w:overflowPunct/>
              <w:topLinePunct w:val="0"/>
              <w:autoSpaceDE/>
              <w:autoSpaceDN/>
              <w:bidi w:val="0"/>
              <w:adjustRightInd/>
              <w:snapToGrid/>
              <w:spacing w:after="0"/>
              <w:jc w:val="center"/>
              <w:textAlignment w:val="auto"/>
              <w:rPr>
                <w:b/>
                <w:sz w:val="26"/>
                <w:szCs w:val="26"/>
                <w:lang w:val="nl-NL"/>
              </w:rPr>
            </w:pPr>
            <w:r>
              <w:rPr>
                <w:b/>
                <w:sz w:val="26"/>
                <w:szCs w:val="26"/>
                <w:lang w:val="nl-NL"/>
              </w:rPr>
              <w:t>Thuyết minh</w:t>
            </w:r>
          </w:p>
        </w:tc>
      </w:tr>
      <w:tr w14:paraId="0EB8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7D7EE266">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sz w:val="26"/>
                <w:szCs w:val="26"/>
                <w:lang w:val="nl-NL"/>
              </w:rPr>
              <w:t>Trên cơ sở quy định Tại khoản 2 Điều 16 Nghị định số 108/2024/NĐ-CP ngày 23/8/2024 của Chính phủ được sửa đổi, bổ sung tại điểm a khoản 8 Điều 1 Nghị định số 286/2025/NĐ-CP ngày 03/11/2025 của Chính phủ quy định</w:t>
            </w:r>
          </w:p>
        </w:tc>
        <w:tc>
          <w:tcPr>
            <w:tcW w:w="5244" w:type="dxa"/>
          </w:tcPr>
          <w:p w14:paraId="2A0B08D2">
            <w:pPr>
              <w:keepNext w:val="0"/>
              <w:keepLines w:val="0"/>
              <w:pageBreakBefore w:val="0"/>
              <w:widowControl/>
              <w:kinsoku/>
              <w:wordWrap/>
              <w:overflowPunct/>
              <w:topLinePunct w:val="0"/>
              <w:autoSpaceDE/>
              <w:autoSpaceDN/>
              <w:bidi w:val="0"/>
              <w:adjustRightInd/>
              <w:snapToGrid/>
              <w:spacing w:after="0"/>
              <w:jc w:val="both"/>
              <w:textAlignment w:val="auto"/>
              <w:rPr>
                <w:rFonts w:eastAsia="Times New Roman"/>
                <w:b/>
                <w:iCs/>
                <w:sz w:val="26"/>
                <w:szCs w:val="26"/>
                <w:lang w:val="nl-NL" w:eastAsia="vi-VN"/>
              </w:rPr>
            </w:pPr>
            <w:r>
              <w:rPr>
                <w:rFonts w:eastAsia="Times New Roman"/>
                <w:b/>
                <w:iCs/>
                <w:sz w:val="26"/>
                <w:szCs w:val="26"/>
                <w:lang w:val="nl-NL" w:eastAsia="vi-VN"/>
              </w:rPr>
              <w:t>Điều 1. Phạm vi điều chỉnh</w:t>
            </w:r>
          </w:p>
          <w:p w14:paraId="6BB92CFB">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sz w:val="26"/>
                <w:szCs w:val="26"/>
                <w:shd w:val="clear" w:color="auto" w:fill="FFFFFF"/>
                <w:lang w:val="nl-NL"/>
              </w:rPr>
              <w:t xml:space="preserve">Quyết định này quy định </w:t>
            </w:r>
            <w:r>
              <w:rPr>
                <w:spacing w:val="-4"/>
                <w:sz w:val="26"/>
                <w:szCs w:val="26"/>
                <w:lang w:val="nl-NL"/>
              </w:rPr>
              <w:t>chính sách ưu đãi miễn, giảm tiền thuê nhà cho các đối tượng ưu tiên trên địa bàn tỉnh Ninh Bình</w:t>
            </w:r>
          </w:p>
          <w:p w14:paraId="46DADB4D">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p>
        </w:tc>
        <w:tc>
          <w:tcPr>
            <w:tcW w:w="4678" w:type="dxa"/>
          </w:tcPr>
          <w:p w14:paraId="29FEAB1B">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sz w:val="26"/>
                <w:szCs w:val="26"/>
                <w:lang w:val="nl-NL"/>
              </w:rPr>
              <w:t>Phù hợp với nội dung đã được Chính phủ giao tại Nghị định số 108/2024/NĐ-CP ngày 23/8/2024, Nghị định số 286/2025/NĐ-CP ngày 03/11/2025  của Chính phủ; Văn bản chỉ đạo số 17604/BTC-QLCS ngày 12/11/2025 của Bộ Tài chính và phù hợp với đối tượng thuộc phạm vi quản lý của tỉnh Ninh Bình</w:t>
            </w:r>
          </w:p>
          <w:p w14:paraId="68FD4944">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p>
        </w:tc>
      </w:tr>
      <w:tr w14:paraId="3D00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5A74ED56">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sz w:val="26"/>
                <w:szCs w:val="26"/>
              </w:rPr>
              <w:t xml:space="preserve">Trên cơ sở Tại điểm a khoản 2 Điều 10 Nghị định số 108/2024/NĐ-CP ngày 23/8/2024 của Chính phủ được sửa đổi, bổ sung tại khoản 5 Điều 1 Nghị định số 286/2025/NĐ-CP ngày 03/11/2025 của Chính phủ </w:t>
            </w:r>
          </w:p>
        </w:tc>
        <w:tc>
          <w:tcPr>
            <w:tcW w:w="5244" w:type="dxa"/>
          </w:tcPr>
          <w:p w14:paraId="55A4D171">
            <w:pPr>
              <w:keepNext w:val="0"/>
              <w:keepLines w:val="0"/>
              <w:pageBreakBefore w:val="0"/>
              <w:widowControl/>
              <w:kinsoku/>
              <w:wordWrap/>
              <w:overflowPunct/>
              <w:topLinePunct w:val="0"/>
              <w:autoSpaceDE/>
              <w:autoSpaceDN/>
              <w:bidi w:val="0"/>
              <w:adjustRightInd/>
              <w:snapToGrid/>
              <w:spacing w:after="0"/>
              <w:jc w:val="both"/>
              <w:textAlignment w:val="auto"/>
              <w:rPr>
                <w:b/>
                <w:spacing w:val="-4"/>
                <w:sz w:val="26"/>
                <w:szCs w:val="26"/>
                <w:lang w:val="nl-NL"/>
              </w:rPr>
            </w:pPr>
            <w:r>
              <w:rPr>
                <w:b/>
                <w:spacing w:val="-4"/>
                <w:sz w:val="26"/>
                <w:szCs w:val="26"/>
                <w:lang w:val="nl-NL"/>
              </w:rPr>
              <w:t>Điều 2. Đối tượng áp dụng</w:t>
            </w:r>
          </w:p>
          <w:p w14:paraId="5EA9BF6A">
            <w:pPr>
              <w:keepNext w:val="0"/>
              <w:keepLines w:val="0"/>
              <w:pageBreakBefore w:val="0"/>
              <w:widowControl/>
              <w:kinsoku/>
              <w:wordWrap/>
              <w:overflowPunct/>
              <w:topLinePunct w:val="0"/>
              <w:autoSpaceDE/>
              <w:autoSpaceDN/>
              <w:bidi w:val="0"/>
              <w:adjustRightInd/>
              <w:snapToGrid/>
              <w:spacing w:after="0"/>
              <w:jc w:val="both"/>
              <w:textAlignment w:val="auto"/>
              <w:rPr>
                <w:spacing w:val="-4"/>
                <w:sz w:val="26"/>
                <w:szCs w:val="26"/>
              </w:rPr>
            </w:pPr>
            <w:r>
              <w:rPr>
                <w:spacing w:val="-4"/>
                <w:sz w:val="26"/>
                <w:szCs w:val="26"/>
              </w:rPr>
              <w:t>1. Các đối tượng ưu tiên quy định tại điểm a khoản 2 Điều 10 Nghị định số 108/2024/NĐ-CP ngày 23/8/2024 của Chính phủ được sửa đổi, bổ sung tại khoản 5 Điều 1 Nghị định số 286/2025/NĐ-CP ngày 03/11/2025 của Chính phủ, bao gồm:</w:t>
            </w:r>
          </w:p>
          <w:p w14:paraId="7F752FCD">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rPr>
            </w:pPr>
            <w:r>
              <w:rPr>
                <w:sz w:val="26"/>
                <w:szCs w:val="26"/>
              </w:rPr>
              <w:t>a) Tổ chức hội do Đảng, Nhà nước giao nhiệm vụ theo văn bản của cơ quan, người có thẩm quyền thuê để làm trụ sở làm việc trong trường hợp chưa có trụ sở làm việc;</w:t>
            </w:r>
          </w:p>
          <w:p w14:paraId="4C8C985F">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rPr>
            </w:pPr>
            <w:r>
              <w:rPr>
                <w:sz w:val="26"/>
                <w:szCs w:val="26"/>
              </w:rPr>
              <w:t>b)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063226D9">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rPr>
            </w:pPr>
            <w:r>
              <w:rPr>
                <w:sz w:val="26"/>
                <w:szCs w:val="26"/>
              </w:rPr>
              <w:t>c) 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w:t>
            </w:r>
          </w:p>
          <w:p w14:paraId="031D5823">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rPr>
            </w:pPr>
            <w:r>
              <w:rPr>
                <w:sz w:val="26"/>
                <w:szCs w:val="26"/>
              </w:rPr>
              <w:t>2. Tổ chức có chức năng quản lý, kinh doanh nhà được Ủy ban nhân dân các cấp giao nhiệm vụ quản lý, khai thác nhà, đất.</w:t>
            </w:r>
          </w:p>
          <w:p w14:paraId="744BFB0B">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rPr>
            </w:pPr>
            <w:r>
              <w:rPr>
                <w:sz w:val="26"/>
                <w:szCs w:val="26"/>
              </w:rPr>
              <w:t>3. Các cơ quan, tổ chức, đơn vị, doanh nghiệp và cá nhân khác có liên quan đến việc quản lý, sử dụng và khai thác nhà, đất.</w:t>
            </w:r>
          </w:p>
        </w:tc>
        <w:tc>
          <w:tcPr>
            <w:tcW w:w="4678" w:type="dxa"/>
          </w:tcPr>
          <w:p w14:paraId="4988EF3F">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sz w:val="26"/>
                <w:szCs w:val="26"/>
                <w:lang w:val="nl-NL"/>
              </w:rPr>
              <w:t>Phù hợp với nội dung đã được Chính phủ giao tại 108/2024/NĐ-CP ngày 23/8/2024, Nghị định số 286/2025/NĐ-CP ngày 03/11/2025  của Chính phủ, Văn bản chỉ đạo số 17604/BTC-QLCS ngày 12/11/2025 của Bộ Tài chính và phù hợp với đối tượng thuộc phạm vi quản lý của tỉnh Ninh Bình</w:t>
            </w:r>
          </w:p>
        </w:tc>
      </w:tr>
      <w:tr w14:paraId="64F3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714F6E59">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rFonts w:eastAsia="Times New Roman"/>
                <w:color w:val="000000"/>
                <w:sz w:val="26"/>
                <w:szCs w:val="26"/>
              </w:rPr>
              <w:t xml:space="preserve">Trên cơ sở </w:t>
            </w:r>
            <w:r>
              <w:rPr>
                <w:sz w:val="26"/>
                <w:szCs w:val="26"/>
              </w:rPr>
              <w:t>khoản 2 Điều 16 Nghị định số 108/2024/NĐ-CP ngày 23/8/2024 của Chính phủ được sửa đổi, bổ sung tại điểm a khoản 8 Điều 1 Nghị định số 286/2025/NĐ-CP ngày 03/11/2025 của Chính phủ quy định</w:t>
            </w:r>
          </w:p>
        </w:tc>
        <w:tc>
          <w:tcPr>
            <w:tcW w:w="5244" w:type="dxa"/>
          </w:tcPr>
          <w:p w14:paraId="4EB545C4">
            <w:pPr>
              <w:keepNext w:val="0"/>
              <w:keepLines w:val="0"/>
              <w:pageBreakBefore w:val="0"/>
              <w:widowControl/>
              <w:kinsoku/>
              <w:wordWrap/>
              <w:overflowPunct/>
              <w:topLinePunct w:val="0"/>
              <w:autoSpaceDE/>
              <w:autoSpaceDN/>
              <w:bidi w:val="0"/>
              <w:adjustRightInd/>
              <w:snapToGrid/>
              <w:spacing w:after="0"/>
              <w:jc w:val="both"/>
              <w:textAlignment w:val="auto"/>
              <w:rPr>
                <w:b/>
                <w:sz w:val="26"/>
                <w:szCs w:val="26"/>
              </w:rPr>
            </w:pPr>
            <w:r>
              <w:rPr>
                <w:b/>
                <w:bCs/>
                <w:sz w:val="26"/>
                <w:szCs w:val="26"/>
              </w:rPr>
              <w:t xml:space="preserve">Điều 3. </w:t>
            </w:r>
            <w:r>
              <w:rPr>
                <w:b/>
                <w:sz w:val="26"/>
                <w:szCs w:val="26"/>
              </w:rPr>
              <w:t>Chính sách ưu đãi tiền thuê nhà cho các đối tượng ưu tiên</w:t>
            </w:r>
          </w:p>
          <w:p w14:paraId="7831A4CC">
            <w:pPr>
              <w:keepNext w:val="0"/>
              <w:keepLines w:val="0"/>
              <w:pageBreakBefore w:val="0"/>
              <w:widowControl/>
              <w:shd w:val="clear" w:color="auto" w:fill="FFFFFF"/>
              <w:kinsoku/>
              <w:wordWrap/>
              <w:overflowPunct/>
              <w:topLinePunct w:val="0"/>
              <w:autoSpaceDE/>
              <w:autoSpaceDN/>
              <w:bidi w:val="0"/>
              <w:adjustRightInd/>
              <w:snapToGrid/>
              <w:spacing w:after="0"/>
              <w:jc w:val="both"/>
              <w:textAlignment w:val="auto"/>
              <w:rPr>
                <w:rFonts w:hint="default" w:eastAsia="Times New Roman"/>
                <w:color w:val="000000"/>
                <w:sz w:val="26"/>
                <w:szCs w:val="26"/>
              </w:rPr>
            </w:pPr>
            <w:r>
              <w:rPr>
                <w:rFonts w:hint="default" w:eastAsia="Times New Roman"/>
                <w:color w:val="000000"/>
                <w:sz w:val="26"/>
                <w:szCs w:val="26"/>
              </w:rPr>
              <w:t>1. Hội quần chúng do Đảng, Nhà nước giao nhiệm vụ thuộc phạm vi quản lý của tỉnh thuê nhà để làm trụ sở làm việc được miễn tiền thuê nhà cho toàn bộ thời gian thuê theo quy định tại Điều 12 Nghị định số 108/2024/NĐ-CP ngày 23/8/2024 của Chính phủ.</w:t>
            </w:r>
          </w:p>
          <w:p w14:paraId="262B2649">
            <w:pPr>
              <w:keepNext w:val="0"/>
              <w:keepLines w:val="0"/>
              <w:pageBreakBefore w:val="0"/>
              <w:widowControl/>
              <w:shd w:val="clear" w:color="auto" w:fill="FFFFFF"/>
              <w:kinsoku/>
              <w:wordWrap/>
              <w:overflowPunct/>
              <w:topLinePunct w:val="0"/>
              <w:autoSpaceDE/>
              <w:autoSpaceDN/>
              <w:bidi w:val="0"/>
              <w:adjustRightInd/>
              <w:snapToGrid/>
              <w:spacing w:after="0"/>
              <w:jc w:val="both"/>
              <w:textAlignment w:val="auto"/>
              <w:rPr>
                <w:rFonts w:hint="default" w:eastAsia="Times New Roman"/>
                <w:color w:val="000000"/>
                <w:sz w:val="26"/>
                <w:szCs w:val="26"/>
              </w:rPr>
            </w:pPr>
            <w:r>
              <w:rPr>
                <w:rFonts w:hint="default" w:eastAsia="Times New Roman"/>
                <w:color w:val="000000"/>
                <w:sz w:val="26"/>
                <w:szCs w:val="26"/>
              </w:rPr>
              <w:t>2. Cơ sở thực hiện xã hội hóa thuộc đối tượng quy định tại Điểm b Khoản 1 Điều 2 Quyết định này thuê nhà để làm cơ sở hoạt động được giảm 50% tiền thuê nhà cho toàn bộ thời gian thuê theo quy định tại Điều 12 Nghị định số 108/2024/NĐ-CP ngày 23/8/2024 của Chính phủ.</w:t>
            </w:r>
          </w:p>
          <w:p w14:paraId="42A8D61B">
            <w:pPr>
              <w:keepNext w:val="0"/>
              <w:keepLines w:val="0"/>
              <w:pageBreakBefore w:val="0"/>
              <w:widowControl/>
              <w:shd w:val="clear" w:color="auto" w:fill="FFFFFF"/>
              <w:kinsoku/>
              <w:wordWrap/>
              <w:overflowPunct/>
              <w:topLinePunct w:val="0"/>
              <w:autoSpaceDE/>
              <w:autoSpaceDN/>
              <w:bidi w:val="0"/>
              <w:adjustRightInd/>
              <w:snapToGrid/>
              <w:spacing w:after="0"/>
              <w:jc w:val="both"/>
              <w:textAlignment w:val="auto"/>
              <w:rPr>
                <w:rFonts w:eastAsia="Times New Roman"/>
                <w:color w:val="000000"/>
                <w:sz w:val="26"/>
                <w:szCs w:val="26"/>
              </w:rPr>
            </w:pPr>
            <w:r>
              <w:rPr>
                <w:rFonts w:hint="default" w:eastAsia="Times New Roman"/>
                <w:color w:val="000000"/>
                <w:sz w:val="26"/>
                <w:szCs w:val="26"/>
              </w:rPr>
              <w:t>3. Hợp tác xã, liên hiệp hợp tác xã, tổ hợp tác thuộc đối tượng quy định tại Điểm c Khoản 1 Điều 2 Quyết định này thuê nhà để làm trụ sở, nhà kho, cửa hàng mua bán, trưng bày, giới thiệu sản phẩm phục vụ hoạt động sản xuất, kinh doanh được giảm 50% tiền thuê nhà cho toàn bộ thời gian thuê theo quy định tại Điều 12 Nghị định số 108/2024/NĐ-CP ngày 23/8/2024 của Chính phủ.</w:t>
            </w:r>
          </w:p>
        </w:tc>
        <w:tc>
          <w:tcPr>
            <w:tcW w:w="4678" w:type="dxa"/>
          </w:tcPr>
          <w:p w14:paraId="5D54D7D5">
            <w:pPr>
              <w:keepNext w:val="0"/>
              <w:keepLines w:val="0"/>
              <w:pageBreakBefore w:val="0"/>
              <w:widowControl/>
              <w:kinsoku/>
              <w:wordWrap/>
              <w:overflowPunct/>
              <w:topLinePunct w:val="0"/>
              <w:autoSpaceDE/>
              <w:autoSpaceDN/>
              <w:bidi w:val="0"/>
              <w:adjustRightInd/>
              <w:snapToGrid/>
              <w:spacing w:after="0"/>
              <w:jc w:val="both"/>
              <w:textAlignment w:val="auto"/>
              <w:rPr>
                <w:rFonts w:ascii="Times New Roman" w:hAnsi="Times New Roman" w:eastAsia="Times New Roman" w:cs="Times New Roman"/>
                <w:sz w:val="26"/>
                <w:szCs w:val="26"/>
                <w:lang w:val="nl-NL"/>
              </w:rPr>
            </w:pPr>
            <w:r>
              <w:rPr>
                <w:rFonts w:hint="default" w:ascii="Times New Roman" w:hAnsi="Times New Roman" w:cs="Times New Roman"/>
                <w:sz w:val="26"/>
                <w:szCs w:val="26"/>
                <w:lang w:val="nl-NL"/>
              </w:rPr>
              <w:t>Quy định tại Điều 3 Dự thảo Quyết định cụ thể hóa quy định tại khoản 2 Điều 16 Nghị định số 108/2024/NĐ-CP được sửa đổi bổ sung tại điểm a khoản 8 Điều 1 Nghị định số 286/2025/NĐ-CP của Chính phủ. Trong đó:</w:t>
            </w:r>
          </w:p>
          <w:p w14:paraId="1F8C5FAA">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rPr>
            </w:pPr>
            <w:r>
              <w:rPr>
                <w:rFonts w:hint="default" w:ascii="Times New Roman" w:hAnsi="Times New Roman" w:cs="Times New Roman"/>
                <w:b/>
                <w:bCs/>
                <w:i/>
                <w:iCs/>
                <w:sz w:val="28"/>
                <w:szCs w:val="28"/>
                <w:u w:val="none"/>
              </w:rPr>
              <w:t>Miễn tiền thuê nhà cho toàn bộ thời gian thuê (</w:t>
            </w:r>
            <w:r>
              <w:rPr>
                <w:rFonts w:hint="default" w:ascii="Times New Roman" w:hAnsi="Times New Roman" w:cs="Times New Roman"/>
                <w:b/>
                <w:bCs/>
                <w:i/>
                <w:iCs/>
                <w:sz w:val="28"/>
                <w:szCs w:val="28"/>
                <w:u w:val="none"/>
              </w:rPr>
              <w:t>bao gồm cả trường hợp gia hạn thời hạn cho thuê nhà) đối với Hội quần chúng do Đảng, Nhà nước giao nhiệm vụ thuộc phạm vi quản lý của tỉnh thuê nhà để làm trụ sở làm việc (</w:t>
            </w:r>
            <w:r>
              <w:rPr>
                <w:rFonts w:hint="default" w:ascii="Times New Roman" w:hAnsi="Times New Roman" w:cs="Times New Roman"/>
                <w:b/>
                <w:bCs/>
                <w:i/>
                <w:iCs/>
                <w:sz w:val="28"/>
                <w:szCs w:val="28"/>
                <w:u w:val="none"/>
              </w:rPr>
              <w:t>Trong trường hợp chưa có trụ sở làm việc)</w:t>
            </w:r>
            <w:r>
              <w:rPr>
                <w:rFonts w:hint="default" w:ascii="Times New Roman" w:hAnsi="Times New Roman" w:cs="Times New Roman"/>
                <w:b w:val="0"/>
                <w:bCs w:val="0"/>
                <w:i w:val="0"/>
                <w:iCs w:val="0"/>
                <w:sz w:val="28"/>
                <w:szCs w:val="28"/>
                <w:u w:val="none"/>
              </w:rPr>
              <w:t xml:space="preserve"> </w:t>
            </w:r>
          </w:p>
          <w:p w14:paraId="3F36CED6">
            <w:pPr>
              <w:spacing w:after="120"/>
              <w:jc w:val="both"/>
              <w:rPr>
                <w:rFonts w:ascii="Times New Roman" w:hAnsi="Times New Roman" w:eastAsia="Times New Roman"/>
                <w:sz w:val="26"/>
                <w:szCs w:val="26"/>
                <w:lang w:val="nl-NL"/>
              </w:rPr>
            </w:pPr>
            <w:r>
              <w:rPr>
                <w:rFonts w:ascii="Times New Roman" w:hAnsi="Times New Roman" w:eastAsia="Times New Roman"/>
                <w:b/>
                <w:bCs/>
                <w:i/>
                <w:iCs/>
                <w:sz w:val="26"/>
                <w:szCs w:val="26"/>
                <w:u w:val="single"/>
                <w:lang w:val="nl-NL"/>
              </w:rPr>
              <w:t>Cơ sở đề xuất:</w:t>
            </w:r>
            <w:r>
              <w:rPr>
                <w:rFonts w:ascii="Times New Roman" w:hAnsi="Times New Roman" w:eastAsia="Times New Roman"/>
                <w:sz w:val="26"/>
                <w:szCs w:val="26"/>
                <w:lang w:val="nl-NL"/>
              </w:rPr>
              <w:t xml:space="preserve"> </w:t>
            </w:r>
          </w:p>
          <w:p w14:paraId="34A9BF56">
            <w:pPr>
              <w:spacing w:after="120"/>
              <w:jc w:val="both"/>
              <w:rPr>
                <w:rFonts w:ascii="Times New Roman" w:hAnsi="Times New Roman"/>
                <w:sz w:val="26"/>
                <w:szCs w:val="26"/>
              </w:rPr>
            </w:pPr>
            <w:r>
              <w:rPr>
                <w:rFonts w:ascii="Times New Roman" w:hAnsi="Times New Roman"/>
                <w:sz w:val="26"/>
                <w:szCs w:val="26"/>
              </w:rPr>
              <w:t>Theo quy định tại Điều 5, khoản 2 Điều 37 và khoản 4 Điều 39 Nghị định 126/2024/NĐ-CP, các hội hoạt động theo nguyên tắc tự nguyện, tự quản, tự bảo đảm kinh phí và không vì mục tiêu lợi nhuận; đồng thời, đối với các hội do Đảng, Nhà nước giao nhiệm vụ, Ủy ban nhân dân cấp tỉnh có thẩm quyền xem xét, quyết định và căn cứ khả năng ngân sách địa phương để hỗ trợ về cơ sở vật chất, phương tiện hoạt động cho tổ chức.</w:t>
            </w:r>
          </w:p>
          <w:p w14:paraId="2A3A2CB3">
            <w:pPr>
              <w:keepNext w:val="0"/>
              <w:keepLines w:val="0"/>
              <w:pageBreakBefore w:val="0"/>
              <w:widowControl/>
              <w:kinsoku/>
              <w:wordWrap/>
              <w:overflowPunct/>
              <w:topLinePunct w:val="0"/>
              <w:autoSpaceDE/>
              <w:autoSpaceDN/>
              <w:bidi w:val="0"/>
              <w:adjustRightInd/>
              <w:snapToGrid/>
              <w:spacing w:after="0"/>
              <w:jc w:val="both"/>
              <w:textAlignment w:val="auto"/>
              <w:rPr>
                <w:rFonts w:ascii="Times New Roman" w:hAnsi="Times New Roman" w:eastAsia="Times New Roman" w:cs="Times New Roman"/>
                <w:sz w:val="26"/>
                <w:szCs w:val="26"/>
                <w:lang w:val="nl-NL"/>
              </w:rPr>
            </w:pPr>
            <w:r>
              <w:rPr>
                <w:rFonts w:ascii="Times New Roman" w:hAnsi="Times New Roman"/>
                <w:sz w:val="26"/>
                <w:szCs w:val="26"/>
              </w:rPr>
              <w:t xml:space="preserve">Trong điều kiện thực tế tại tỉnh </w:t>
            </w:r>
            <w:r>
              <w:rPr>
                <w:rFonts w:hint="default"/>
                <w:sz w:val="26"/>
                <w:szCs w:val="26"/>
                <w:lang w:val="en-US"/>
              </w:rPr>
              <w:t>Ninh Bình</w:t>
            </w:r>
            <w:r>
              <w:rPr>
                <w:rFonts w:ascii="Times New Roman" w:hAnsi="Times New Roman"/>
                <w:sz w:val="26"/>
                <w:szCs w:val="26"/>
              </w:rPr>
              <w:t xml:space="preserve"> hiện nay, một số hội do Đảng, Nhà nước giao nhiệm vụ chưa có trụ sở làm việc ổn định, trong khi quỹ nhà, đất dôi dư sau sắp xếp đơn vị hành chính, thực hiện mô hình chính quyền địa phương 02 cấp vẫn còn khả năng khai thác, sử dụng. Việc bố trí cho các hội này thuê nhà thuộc tài sản công (không sử dụng vào mục đích để ở) và áp dụng chính sách ưu đãi về tiền thuê là phù hợp với chủ trương của Đảng và Nhà nước về quản lý, sử dụng hiệu quả tài sản công, đồng thời hỗ trợ các tổ chức thực hiện nhiệm vụ được giao.</w:t>
            </w:r>
          </w:p>
          <w:p w14:paraId="2617513F">
            <w:pPr>
              <w:keepNext w:val="0"/>
              <w:keepLines w:val="0"/>
              <w:pageBreakBefore w:val="0"/>
              <w:kinsoku/>
              <w:wordWrap/>
              <w:overflowPunct/>
              <w:topLinePunct w:val="0"/>
              <w:autoSpaceDE/>
              <w:autoSpaceDN/>
              <w:bidi w:val="0"/>
              <w:adjustRightInd/>
              <w:snapToGrid/>
              <w:spacing w:after="0"/>
              <w:ind w:firstLine="840" w:firstLineChars="300"/>
              <w:jc w:val="both"/>
              <w:textAlignment w:val="auto"/>
              <w:rPr>
                <w:rFonts w:hint="default" w:ascii="Times New Roman" w:hAnsi="Times New Roman" w:cs="Times New Roman"/>
                <w:b w:val="0"/>
                <w:bCs w:val="0"/>
                <w:i w:val="0"/>
                <w:iCs w:val="0"/>
                <w:sz w:val="28"/>
                <w:szCs w:val="28"/>
                <w:u w:val="none"/>
              </w:rPr>
            </w:pPr>
            <w:bookmarkStart w:id="0" w:name="_GoBack"/>
            <w:bookmarkEnd w:id="0"/>
            <w:r>
              <w:rPr>
                <w:rFonts w:hint="default" w:ascii="Times New Roman" w:hAnsi="Times New Roman" w:cs="Times New Roman"/>
                <w:b/>
                <w:bCs/>
                <w:i/>
                <w:iCs/>
                <w:sz w:val="28"/>
                <w:szCs w:val="28"/>
                <w:u w:val="none"/>
              </w:rPr>
              <w:t>Giảm 50% tiền thuê nhà cho toàn bộ thời gian thuê nhà (bao gồm cả trường hợp gia hạn thời hạn cho thuê nhà)</w:t>
            </w:r>
            <w:r>
              <w:rPr>
                <w:rFonts w:hint="default" w:cs="Times New Roman"/>
                <w:b/>
                <w:bCs/>
                <w:i/>
                <w:iCs/>
                <w:sz w:val="28"/>
                <w:szCs w:val="28"/>
                <w:u w:val="none"/>
                <w:lang w:val="en-US"/>
              </w:rPr>
              <w:t xml:space="preserve"> </w:t>
            </w:r>
            <w:r>
              <w:rPr>
                <w:rFonts w:hint="default" w:ascii="Times New Roman" w:hAnsi="Times New Roman" w:cs="Times New Roman"/>
                <w:b/>
                <w:bCs/>
                <w:i/>
                <w:iCs/>
                <w:sz w:val="28"/>
                <w:szCs w:val="28"/>
                <w:u w:val="none"/>
              </w:rPr>
              <w:t>đối với</w:t>
            </w:r>
            <w:r>
              <w:rPr>
                <w:rFonts w:hint="default" w:cs="Times New Roman"/>
                <w:b/>
                <w:bCs/>
                <w:i/>
                <w:iCs/>
                <w:sz w:val="28"/>
                <w:szCs w:val="28"/>
                <w:u w:val="none"/>
                <w:lang w:val="en-US"/>
              </w:rPr>
              <w:t>:</w:t>
            </w:r>
            <w:r>
              <w:rPr>
                <w:rFonts w:hint="default" w:ascii="Times New Roman" w:hAnsi="Times New Roman" w:cs="Times New Roman"/>
                <w:b w:val="0"/>
                <w:bCs w:val="0"/>
                <w:i w:val="0"/>
                <w:iCs w:val="0"/>
                <w:sz w:val="28"/>
                <w:szCs w:val="28"/>
                <w:u w:val="none"/>
              </w:rPr>
              <w:t xml:space="preserve"> </w:t>
            </w:r>
          </w:p>
          <w:p w14:paraId="13885884">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rPr>
            </w:pPr>
            <w:r>
              <w:rPr>
                <w:rFonts w:hint="default" w:ascii="Times New Roman" w:hAnsi="Times New Roman" w:cs="Times New Roman"/>
                <w:b w:val="0"/>
                <w:bCs w:val="0"/>
                <w:i w:val="0"/>
                <w:iCs w:val="0"/>
                <w:sz w:val="28"/>
                <w:szCs w:val="28"/>
                <w:u w:val="none"/>
              </w:rPr>
              <w:t>a)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6E2328A8">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rPr>
              <w:t>b) 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w:t>
            </w:r>
            <w:r>
              <w:rPr>
                <w:rFonts w:hint="default" w:cs="Times New Roman"/>
                <w:b w:val="0"/>
                <w:bCs w:val="0"/>
                <w:i w:val="0"/>
                <w:iCs w:val="0"/>
                <w:sz w:val="28"/>
                <w:szCs w:val="28"/>
                <w:u w:val="none"/>
                <w:lang w:val="en-US"/>
              </w:rPr>
              <w:t>h</w:t>
            </w:r>
          </w:p>
          <w:p w14:paraId="23980581">
            <w:pPr>
              <w:spacing w:after="120"/>
              <w:jc w:val="both"/>
              <w:rPr>
                <w:rFonts w:ascii="Times New Roman" w:hAnsi="Times New Roman"/>
                <w:b/>
                <w:bCs/>
                <w:i/>
                <w:iCs/>
                <w:sz w:val="26"/>
                <w:szCs w:val="26"/>
                <w:u w:val="single"/>
              </w:rPr>
            </w:pPr>
            <w:r>
              <w:rPr>
                <w:rFonts w:ascii="Times New Roman" w:hAnsi="Times New Roman"/>
                <w:b/>
                <w:bCs/>
                <w:i/>
                <w:iCs/>
                <w:sz w:val="26"/>
                <w:szCs w:val="26"/>
                <w:u w:val="single"/>
              </w:rPr>
              <w:t>Cơ sở đề xuất:</w:t>
            </w:r>
          </w:p>
          <w:p w14:paraId="03BF4948">
            <w:pPr>
              <w:keepNext w:val="0"/>
              <w:keepLines w:val="0"/>
              <w:pageBreakBefore w:val="0"/>
              <w:widowControl/>
              <w:kinsoku/>
              <w:wordWrap/>
              <w:overflowPunct/>
              <w:topLinePunct w:val="0"/>
              <w:autoSpaceDE/>
              <w:autoSpaceDN/>
              <w:bidi w:val="0"/>
              <w:adjustRightInd/>
              <w:snapToGrid/>
              <w:spacing w:after="0"/>
              <w:jc w:val="both"/>
              <w:textAlignment w:val="auto"/>
              <w:rPr>
                <w:rFonts w:ascii="Times New Roman" w:hAnsi="Times New Roman" w:cs="Times New Roman"/>
                <w:sz w:val="26"/>
                <w:szCs w:val="26"/>
              </w:rPr>
            </w:pPr>
            <w:r>
              <w:rPr>
                <w:rFonts w:ascii="Times New Roman" w:hAnsi="Times New Roman" w:cs="Times New Roman"/>
                <w:sz w:val="26"/>
                <w:szCs w:val="26"/>
              </w:rPr>
              <w:t>Theo quy định tại Nghị định số 108/2024/NĐ-CP, được sửa đổi, bổ sung bởi Nghị định số 286/2025/NĐ-CP của Chính phủ, thời hạn cho thuê nhà tối đa là 5 năm, trường hợp được gia hạn cho thuê nhà thì tổng thời gian cho thuê nhà là 10 năm. Trong đó, theo quy định tại Điều 13 Nghị định số 108/2024/NĐ-CP của Chính phủ thì trong cơ cấu đơn giá cho thuê nhà phải xác định cụ thể mức tiền thuê đất (tương ứng với loại đất thương mại, dịch vụ với thời hạn 50 năm).</w:t>
            </w:r>
          </w:p>
          <w:p w14:paraId="16EDDFA1">
            <w:pPr>
              <w:keepNext w:val="0"/>
              <w:keepLines w:val="0"/>
              <w:pageBreakBefore w:val="0"/>
              <w:widowControl/>
              <w:kinsoku/>
              <w:wordWrap/>
              <w:overflowPunct/>
              <w:topLinePunct w:val="0"/>
              <w:autoSpaceDE/>
              <w:autoSpaceDN/>
              <w:bidi w:val="0"/>
              <w:adjustRightInd/>
              <w:snapToGrid/>
              <w:spacing w:after="0"/>
              <w:textAlignment w:val="auto"/>
              <w:rPr>
                <w:rFonts w:ascii="Times New Roman" w:hAnsi="Times New Roman" w:cs="Times New Roman"/>
                <w:sz w:val="26"/>
                <w:szCs w:val="26"/>
              </w:rPr>
            </w:pPr>
            <w:r>
              <w:rPr>
                <w:rFonts w:ascii="Times New Roman" w:hAnsi="Times New Roman" w:cs="Times New Roman"/>
                <w:sz w:val="26"/>
                <w:szCs w:val="26"/>
              </w:rPr>
              <w:t xml:space="preserve">Đối với các cơ sở thực hiện xã hội hóa và hợp tác xã: </w:t>
            </w:r>
          </w:p>
          <w:p w14:paraId="02CA45A0">
            <w:pPr>
              <w:keepNext w:val="0"/>
              <w:keepLines w:val="0"/>
              <w:pageBreakBefore w:val="0"/>
              <w:widowControl/>
              <w:tabs>
                <w:tab w:val="left" w:pos="720"/>
              </w:tabs>
              <w:kinsoku/>
              <w:wordWrap/>
              <w:overflowPunct/>
              <w:topLinePunct w:val="0"/>
              <w:autoSpaceDE/>
              <w:autoSpaceDN/>
              <w:bidi w:val="0"/>
              <w:adjustRightInd/>
              <w:snapToGrid/>
              <w:spacing w:after="0"/>
              <w:jc w:val="both"/>
              <w:textAlignment w:val="auto"/>
              <w:rPr>
                <w:rFonts w:hint="default" w:ascii="Times New Roman" w:hAnsi="Times New Roman" w:cs="Times New Roman"/>
                <w:sz w:val="26"/>
                <w:szCs w:val="26"/>
                <w:lang w:val="en-US"/>
              </w:rPr>
            </w:pPr>
            <w:r>
              <w:rPr>
                <w:rFonts w:ascii="Times New Roman" w:hAnsi="Times New Roman" w:cs="Times New Roman"/>
                <w:sz w:val="26"/>
                <w:szCs w:val="26"/>
              </w:rPr>
              <w:t>Đối với các cơ sở thực hiện xã hội hóa</w:t>
            </w:r>
            <w:r>
              <w:rPr>
                <w:rFonts w:hint="default" w:ascii="Times New Roman" w:hAnsi="Times New Roman" w:cs="Times New Roman"/>
                <w:sz w:val="26"/>
                <w:szCs w:val="26"/>
                <w:lang w:val="en-US"/>
              </w:rPr>
              <w:t xml:space="preserve">: Nam Định cũ ban hành Nghị quyết số 10/2025/NQ-HĐND ngày 14/3/2025, Hà Nam cũ ban hành Nghị quyết số 06/2025/NQ-HĐND ngày 20/3/2025, Ninh Bình cũ ban hành Nghị quyết số 14/2024/NQ-HDDND ngày 30/10/2024, trong đó có nội dung ưu đãi miễn tiền thuê đất trong lĩnh vực: Y tế; Giáo dục - đào tạo, dạy nghề; </w:t>
            </w:r>
          </w:p>
          <w:p w14:paraId="7EB1EDD6">
            <w:pPr>
              <w:keepNext w:val="0"/>
              <w:keepLines w:val="0"/>
              <w:pageBreakBefore w:val="0"/>
              <w:widowControl/>
              <w:kinsoku/>
              <w:wordWrap/>
              <w:overflowPunct/>
              <w:topLinePunct w:val="0"/>
              <w:autoSpaceDE/>
              <w:autoSpaceDN/>
              <w:bidi w:val="0"/>
              <w:adjustRightInd/>
              <w:snapToGrid/>
              <w:spacing w:after="0"/>
              <w:jc w:val="both"/>
              <w:textAlignment w:val="auto"/>
              <w:rPr>
                <w:rFonts w:ascii="Times New Roman" w:hAnsi="Times New Roman" w:cs="Times New Roman"/>
                <w:sz w:val="26"/>
                <w:szCs w:val="26"/>
              </w:rPr>
            </w:pPr>
            <w:r>
              <w:rPr>
                <w:rFonts w:ascii="Times New Roman" w:hAnsi="Times New Roman" w:cs="Times New Roman"/>
                <w:iCs/>
                <w:sz w:val="26"/>
                <w:szCs w:val="26"/>
              </w:rPr>
              <w:t xml:space="preserve">Đối với </w:t>
            </w:r>
            <w:r>
              <w:rPr>
                <w:rFonts w:ascii="Times New Roman" w:hAnsi="Times New Roman" w:eastAsia="Times New Roman" w:cs="Times New Roman"/>
                <w:sz w:val="26"/>
                <w:szCs w:val="26"/>
                <w:lang w:val="nl-NL"/>
              </w:rPr>
              <w:t>Hợp tác xã, liên hiệp hợp tác xã, tổ hợp tác đáp ứng các tiêu chí để được thụ hưởng chính sách hỗ trợ của Nhà nước theo quy định tại Luật Hợp tác xã</w:t>
            </w:r>
            <w:r>
              <w:rPr>
                <w:rFonts w:ascii="Times New Roman" w:hAnsi="Times New Roman" w:cs="Times New Roman"/>
                <w:sz w:val="26"/>
                <w:szCs w:val="26"/>
              </w:rPr>
              <w:t>, tại điểm d khoản 1 Điều 39 Nghị định số 103/2024/NĐ-CP ngày 30/7/2024 của Chính phủ quy định:</w:t>
            </w:r>
          </w:p>
          <w:p w14:paraId="5E461CD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sz w:val="26"/>
                <w:szCs w:val="26"/>
                <w:lang w:val="en-US"/>
              </w:rPr>
            </w:pPr>
            <w:r>
              <w:rPr>
                <w:rFonts w:hint="default" w:cs="Times New Roman"/>
                <w:i/>
                <w:sz w:val="26"/>
                <w:szCs w:val="26"/>
                <w:lang w:val="en-US"/>
              </w:rPr>
              <w:t>“</w:t>
            </w:r>
            <w:r>
              <w:rPr>
                <w:rFonts w:ascii="Times New Roman" w:hAnsi="Times New Roman" w:cs="Times New Roman"/>
                <w:i/>
                <w:sz w:val="26"/>
                <w:szCs w:val="26"/>
              </w:rPr>
              <w:t>- Miễn  tiền thuê đất cho cả thời hạn thuê đối với trường hợp sử dụng đất làm mặt bằng xây dựng trụ sở, sân phơi, nhà kho, nhà xưởng sản xuất; xây dựng cơ sở dịch vụ trực tiếp phục vụ sản xuất nông nghiệp, lâm nghiệp, nuôi trồng thủy sản, làm muối của hợp tác xã, liên hiệp hợp tác xã;</w:t>
            </w:r>
            <w:r>
              <w:rPr>
                <w:rFonts w:hint="default" w:cs="Times New Roman"/>
                <w:i/>
                <w:sz w:val="26"/>
                <w:szCs w:val="26"/>
                <w:lang w:val="en-US"/>
              </w:rPr>
              <w:t>”</w:t>
            </w:r>
          </w:p>
          <w:p w14:paraId="771FDC53">
            <w:pPr>
              <w:keepNext w:val="0"/>
              <w:keepLines w:val="0"/>
              <w:pageBreakBefore w:val="0"/>
              <w:widowControl/>
              <w:kinsoku/>
              <w:wordWrap/>
              <w:overflowPunct/>
              <w:topLinePunct w:val="0"/>
              <w:autoSpaceDE/>
              <w:autoSpaceDN/>
              <w:bidi w:val="0"/>
              <w:adjustRightInd/>
              <w:snapToGrid/>
              <w:spacing w:after="0"/>
              <w:jc w:val="both"/>
              <w:textAlignment w:val="auto"/>
              <w:rPr>
                <w:rFonts w:ascii="Times New Roman" w:hAnsi="Times New Roman" w:cs="Times New Roman"/>
                <w:iCs/>
                <w:sz w:val="26"/>
                <w:szCs w:val="26"/>
              </w:rPr>
            </w:pPr>
            <w:r>
              <w:rPr>
                <w:rFonts w:ascii="Times New Roman" w:hAnsi="Times New Roman" w:cs="Times New Roman"/>
                <w:iCs/>
                <w:sz w:val="26"/>
                <w:szCs w:val="26"/>
              </w:rPr>
              <w:t xml:space="preserve">Như vậy, pháp luật hiện hành đã có quy định miễn tiền thuê đất đối với </w:t>
            </w:r>
            <w:r>
              <w:rPr>
                <w:rFonts w:hint="default" w:cs="Times New Roman"/>
                <w:iCs/>
                <w:sz w:val="26"/>
                <w:szCs w:val="26"/>
                <w:lang w:val="en-US"/>
              </w:rPr>
              <w:t xml:space="preserve">hai </w:t>
            </w:r>
            <w:r>
              <w:rPr>
                <w:rFonts w:ascii="Times New Roman" w:hAnsi="Times New Roman" w:cs="Times New Roman"/>
                <w:iCs/>
                <w:sz w:val="26"/>
                <w:szCs w:val="26"/>
              </w:rPr>
              <w:t>nhóm đối tượng nêu trên trong những điều kiện cụ thể. Trong khi đó, đối tượng của Dự thảo Quyết định là nhà thuộc tài sản công, trong đó cơ cấu tiền thuê nhà đã bao gồm cả tiền thuê đất.</w:t>
            </w:r>
          </w:p>
          <w:p w14:paraId="4F9F0CD8">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rFonts w:ascii="Times New Roman" w:hAnsi="Times New Roman" w:cs="Times New Roman"/>
                <w:iCs/>
                <w:sz w:val="26"/>
                <w:szCs w:val="26"/>
              </w:rPr>
              <w:t>Do đó, để bảo đảm tính đồng bộ, thống nhất giữa chính sách về đất đai và chính sách quản lý, sử dụng tài sản công, việc quy định giảm tiền thuê nhà với mức giảm tương ứng phần tiền thuê đất trong cơ cấu giá thuê nhà đối với các cơ sở xã hội hóa và hợp tác xã là phù hợp; vừa bảo đảm quy định ưu đãi theo pháp luật về đất đai, vừa tránh trùng lặp, chồng chéo chính sách trên địa bàn tỉnh.</w:t>
            </w:r>
          </w:p>
        </w:tc>
      </w:tr>
      <w:tr w14:paraId="372A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1AF61142">
            <w:pPr>
              <w:keepNext w:val="0"/>
              <w:keepLines w:val="0"/>
              <w:pageBreakBefore w:val="0"/>
              <w:widowControl/>
              <w:kinsoku/>
              <w:wordWrap/>
              <w:overflowPunct/>
              <w:topLinePunct w:val="0"/>
              <w:autoSpaceDE/>
              <w:autoSpaceDN/>
              <w:bidi w:val="0"/>
              <w:adjustRightInd/>
              <w:snapToGrid/>
              <w:spacing w:after="0"/>
              <w:jc w:val="both"/>
              <w:textAlignment w:val="auto"/>
              <w:rPr>
                <w:rFonts w:eastAsia="Times New Roman"/>
                <w:color w:val="000000"/>
                <w:sz w:val="26"/>
                <w:szCs w:val="26"/>
              </w:rPr>
            </w:pPr>
            <w:r>
              <w:rPr>
                <w:rFonts w:eastAsia="Times New Roman"/>
                <w:color w:val="000000"/>
                <w:sz w:val="26"/>
                <w:szCs w:val="26"/>
              </w:rPr>
              <w:t>Trên cơ sở tại khoản 2 Điều 31 Nghị định số 108/2024/NĐ-CP ngày 23 tháng 8 năm 2024</w:t>
            </w:r>
          </w:p>
        </w:tc>
        <w:tc>
          <w:tcPr>
            <w:tcW w:w="5244" w:type="dxa"/>
          </w:tcPr>
          <w:p w14:paraId="5E10D64C">
            <w:pPr>
              <w:keepNext w:val="0"/>
              <w:keepLines w:val="0"/>
              <w:pageBreakBefore w:val="0"/>
              <w:widowControl/>
              <w:kinsoku/>
              <w:wordWrap/>
              <w:overflowPunct/>
              <w:topLinePunct w:val="0"/>
              <w:autoSpaceDE/>
              <w:autoSpaceDN/>
              <w:bidi w:val="0"/>
              <w:adjustRightInd/>
              <w:snapToGrid/>
              <w:spacing w:after="0"/>
              <w:jc w:val="both"/>
              <w:textAlignment w:val="auto"/>
              <w:rPr>
                <w:rStyle w:val="10"/>
                <w:b/>
                <w:sz w:val="26"/>
                <w:szCs w:val="26"/>
              </w:rPr>
            </w:pPr>
            <w:r>
              <w:rPr>
                <w:rStyle w:val="10"/>
                <w:b/>
                <w:sz w:val="26"/>
                <w:szCs w:val="26"/>
              </w:rPr>
              <w:t>Điều 4. Quy định chuyển tiếp</w:t>
            </w:r>
          </w:p>
          <w:p w14:paraId="5AA304D1">
            <w:pPr>
              <w:keepNext w:val="0"/>
              <w:keepLines w:val="0"/>
              <w:pageBreakBefore w:val="0"/>
              <w:widowControl/>
              <w:shd w:val="clear" w:color="auto" w:fill="FFFFFF"/>
              <w:kinsoku/>
              <w:wordWrap/>
              <w:overflowPunct/>
              <w:topLinePunct w:val="0"/>
              <w:autoSpaceDE/>
              <w:autoSpaceDN/>
              <w:bidi w:val="0"/>
              <w:adjustRightInd/>
              <w:snapToGrid/>
              <w:spacing w:after="0"/>
              <w:jc w:val="both"/>
              <w:textAlignment w:val="auto"/>
              <w:rPr>
                <w:rFonts w:eastAsia="Times New Roman"/>
                <w:color w:val="000000"/>
                <w:sz w:val="26"/>
                <w:szCs w:val="26"/>
              </w:rPr>
            </w:pPr>
            <w:r>
              <w:rPr>
                <w:rFonts w:eastAsia="Times New Roman"/>
                <w:color w:val="000000"/>
                <w:sz w:val="26"/>
                <w:szCs w:val="26"/>
              </w:rPr>
              <w:t xml:space="preserve">  Đối với nhà, đất đang cho thuê theo Hợp đồng ký trước ngày Nghị định số 108/2024/NĐ-CP ngày 23 tháng 8 năm 2024 của Chính phủ có hiệu lực thi hành và thuộc phạm vi điều chỉnh, trường hợp xử lý chuyển tiếp theo quy định tại khoản 2 Điều 31 Nghị định số 108/2024/NĐ-CP ngày 23 tháng 8 năm 2024 của Chính phủ thì được hưởng chính sách ưu đãi quy định tại Điều 3 Quyết định này cho thời hạn còn lại của Hợp đồng kể từ ngày Quyết định này có hiệu lực thi hành. Việc xác định giá thuê và thời hạn tiếp tục thuê phải đảm bảo đúng quy định tại khoản 2 Điều 31 Nghị định số 108/2024/NĐ-CP ngày 23 tháng 8 năm 2024 của Chính phủ.</w:t>
            </w:r>
          </w:p>
        </w:tc>
        <w:tc>
          <w:tcPr>
            <w:tcW w:w="4678" w:type="dxa"/>
          </w:tcPr>
          <w:p w14:paraId="6B5337F1">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sz w:val="26"/>
                <w:szCs w:val="26"/>
                <w:lang w:val="nl-NL"/>
              </w:rPr>
              <w:t>.</w:t>
            </w:r>
          </w:p>
          <w:p w14:paraId="00F64E66">
            <w:pPr>
              <w:keepNext w:val="0"/>
              <w:keepLines w:val="0"/>
              <w:pageBreakBefore w:val="0"/>
              <w:widowControl/>
              <w:kinsoku/>
              <w:wordWrap/>
              <w:overflowPunct/>
              <w:topLinePunct w:val="0"/>
              <w:autoSpaceDE/>
              <w:autoSpaceDN/>
              <w:bidi w:val="0"/>
              <w:adjustRightInd/>
              <w:snapToGrid/>
              <w:spacing w:after="0"/>
              <w:jc w:val="both"/>
              <w:textAlignment w:val="auto"/>
              <w:rPr>
                <w:sz w:val="26"/>
                <w:szCs w:val="26"/>
                <w:lang w:val="nl-NL"/>
              </w:rPr>
            </w:pPr>
            <w:r>
              <w:rPr>
                <w:rFonts w:hint="default"/>
                <w:sz w:val="26"/>
                <w:szCs w:val="26"/>
                <w:lang w:val="nl-NL"/>
              </w:rPr>
              <w:t>Dự thảo Quyết định quy định điều khoản chuyển tiếp nhằm đảm bảo quyền lợi cho các đối tượng ưu tiên đã ký hợp đồng thuê nhà theo quy định tại Nghị định số 108/2024/NĐ-CP trước ngày quyết định có hiệu lực thi hành. Theo đó, các đối tượng này sẽ được hưởng chính sách miễn, giảm tiền thuê nhà cho thời gian còn lại của hợp đồng đã ký kể từ ngày Quyết định này có hiệu lực thi hành.</w:t>
            </w:r>
          </w:p>
        </w:tc>
      </w:tr>
    </w:tbl>
    <w:p w14:paraId="7CFFE1DC">
      <w:pPr>
        <w:pBdr>
          <w:top w:val="dotted" w:color="FFFFFF" w:sz="4" w:space="0"/>
          <w:left w:val="dotted" w:color="FFFFFF" w:sz="4" w:space="0"/>
          <w:bottom w:val="dotted" w:color="FFFFFF" w:sz="4" w:space="15"/>
          <w:right w:val="dotted" w:color="FFFFFF" w:sz="4" w:space="0"/>
        </w:pBdr>
        <w:shd w:val="clear" w:color="auto" w:fill="FFFFFF"/>
        <w:spacing w:before="30" w:after="30"/>
        <w:ind w:firstLine="851"/>
        <w:jc w:val="both"/>
        <w:rPr>
          <w:lang w:val="nl-NL"/>
        </w:rPr>
      </w:pPr>
    </w:p>
    <w:tbl>
      <w:tblPr>
        <w:tblStyle w:val="3"/>
        <w:tblW w:w="9322" w:type="dxa"/>
        <w:tblCellSpacing w:w="0" w:type="dxa"/>
        <w:tblInd w:w="0" w:type="dxa"/>
        <w:shd w:val="clear" w:color="auto" w:fill="FFFFFF"/>
        <w:tblLayout w:type="autofit"/>
        <w:tblCellMar>
          <w:top w:w="0" w:type="dxa"/>
          <w:left w:w="0" w:type="dxa"/>
          <w:bottom w:w="0" w:type="dxa"/>
          <w:right w:w="0" w:type="dxa"/>
        </w:tblCellMar>
      </w:tblPr>
      <w:tblGrid>
        <w:gridCol w:w="4219"/>
        <w:gridCol w:w="5103"/>
      </w:tblGrid>
      <w:tr w14:paraId="079315F6">
        <w:tblPrEx>
          <w:shd w:val="clear" w:color="auto" w:fill="FFFFFF"/>
          <w:tblCellMar>
            <w:top w:w="0" w:type="dxa"/>
            <w:left w:w="0" w:type="dxa"/>
            <w:bottom w:w="0" w:type="dxa"/>
            <w:right w:w="0" w:type="dxa"/>
          </w:tblCellMar>
        </w:tblPrEx>
        <w:trPr>
          <w:trHeight w:val="2754" w:hRule="atLeast"/>
          <w:tblCellSpacing w:w="0" w:type="dxa"/>
        </w:trPr>
        <w:tc>
          <w:tcPr>
            <w:tcW w:w="4219" w:type="dxa"/>
            <w:shd w:val="clear" w:color="auto" w:fill="FFFFFF"/>
            <w:tcMar>
              <w:top w:w="0" w:type="dxa"/>
              <w:left w:w="108" w:type="dxa"/>
              <w:bottom w:w="0" w:type="dxa"/>
              <w:right w:w="108" w:type="dxa"/>
            </w:tcMar>
          </w:tcPr>
          <w:p w14:paraId="4F23EABB">
            <w:pPr>
              <w:rPr>
                <w:rFonts w:eastAsia="Times New Roman"/>
                <w:sz w:val="24"/>
                <w:szCs w:val="24"/>
                <w:lang w:val="nl-NL" w:eastAsia="en-US"/>
              </w:rPr>
            </w:pPr>
          </w:p>
        </w:tc>
        <w:tc>
          <w:tcPr>
            <w:tcW w:w="5103" w:type="dxa"/>
            <w:shd w:val="clear" w:color="auto" w:fill="FFFFFF"/>
            <w:tcMar>
              <w:top w:w="0" w:type="dxa"/>
              <w:left w:w="108" w:type="dxa"/>
              <w:bottom w:w="0" w:type="dxa"/>
              <w:right w:w="108" w:type="dxa"/>
            </w:tcMar>
          </w:tcPr>
          <w:p w14:paraId="3BBAC66E">
            <w:pPr>
              <w:spacing w:line="234" w:lineRule="atLeast"/>
              <w:rPr>
                <w:rFonts w:eastAsia="Times New Roman"/>
                <w:b/>
                <w:lang w:val="en-US" w:eastAsia="en-US"/>
              </w:rPr>
            </w:pPr>
          </w:p>
        </w:tc>
      </w:tr>
    </w:tbl>
    <w:p w14:paraId="155449C4">
      <w:pPr>
        <w:spacing w:before="120" w:after="120" w:line="264" w:lineRule="auto"/>
        <w:jc w:val="both"/>
        <w:rPr>
          <w:lang w:val="nl-NL" w:eastAsia="en-US"/>
        </w:rPr>
      </w:pPr>
    </w:p>
    <w:p w14:paraId="7176A2B5"/>
    <w:p w14:paraId="3D2FEB8F"/>
    <w:sectPr>
      <w:headerReference r:id="rId5" w:type="default"/>
      <w:pgSz w:w="16840" w:h="11907" w:orient="landscape"/>
      <w:pgMar w:top="1701" w:right="1134" w:bottom="1134" w:left="1134" w:header="431" w:footer="346"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imes New Roman Bold">
    <w:altName w:val="Times New Roman"/>
    <w:panose1 w:val="02020803070505020304"/>
    <w:charset w:val="00"/>
    <w:family w:val="roman"/>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3414F">
    <w:pPr>
      <w:pStyle w:val="4"/>
      <w:jc w:val="center"/>
    </w:pPr>
    <w:r>
      <w:fldChar w:fldCharType="begin"/>
    </w:r>
    <w:r>
      <w:instrText xml:space="preserve"> PAGE   \* MERGEFORMAT </w:instrText>
    </w:r>
    <w:r>
      <w:fldChar w:fldCharType="separate"/>
    </w:r>
    <w:r>
      <w:t>2</w:t>
    </w:r>
    <w:r>
      <w:fldChar w:fldCharType="end"/>
    </w:r>
  </w:p>
  <w:p w14:paraId="5BBB2981">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769"/>
    <w:rsid w:val="000069AA"/>
    <w:rsid w:val="00055E78"/>
    <w:rsid w:val="000F7F5B"/>
    <w:rsid w:val="001969DF"/>
    <w:rsid w:val="001B49CC"/>
    <w:rsid w:val="00201298"/>
    <w:rsid w:val="00213C9B"/>
    <w:rsid w:val="002B60AD"/>
    <w:rsid w:val="002C7DEE"/>
    <w:rsid w:val="0034467F"/>
    <w:rsid w:val="00461ABF"/>
    <w:rsid w:val="00492E23"/>
    <w:rsid w:val="004E0095"/>
    <w:rsid w:val="004E1A50"/>
    <w:rsid w:val="005007FD"/>
    <w:rsid w:val="005140D8"/>
    <w:rsid w:val="00553CA7"/>
    <w:rsid w:val="00580637"/>
    <w:rsid w:val="005A4068"/>
    <w:rsid w:val="00606F25"/>
    <w:rsid w:val="0061538B"/>
    <w:rsid w:val="006308DC"/>
    <w:rsid w:val="00664DB2"/>
    <w:rsid w:val="00685E8D"/>
    <w:rsid w:val="00704571"/>
    <w:rsid w:val="00723E2B"/>
    <w:rsid w:val="00742727"/>
    <w:rsid w:val="00787DDD"/>
    <w:rsid w:val="007D0652"/>
    <w:rsid w:val="007D3629"/>
    <w:rsid w:val="00857FE5"/>
    <w:rsid w:val="008D253D"/>
    <w:rsid w:val="00972D90"/>
    <w:rsid w:val="009755A4"/>
    <w:rsid w:val="009A0077"/>
    <w:rsid w:val="00A13CA8"/>
    <w:rsid w:val="00A3049A"/>
    <w:rsid w:val="00A937D7"/>
    <w:rsid w:val="00AA376A"/>
    <w:rsid w:val="00AC646F"/>
    <w:rsid w:val="00AD7E64"/>
    <w:rsid w:val="00AF47F9"/>
    <w:rsid w:val="00BF4993"/>
    <w:rsid w:val="00CA604E"/>
    <w:rsid w:val="00D20F87"/>
    <w:rsid w:val="00D4581C"/>
    <w:rsid w:val="00D91B21"/>
    <w:rsid w:val="00E077BF"/>
    <w:rsid w:val="00E23BF3"/>
    <w:rsid w:val="00EA1769"/>
    <w:rsid w:val="00EA6D36"/>
    <w:rsid w:val="00EB6E90"/>
    <w:rsid w:val="00EC3916"/>
    <w:rsid w:val="00ED39E3"/>
    <w:rsid w:val="00F10463"/>
    <w:rsid w:val="00F4042C"/>
    <w:rsid w:val="00F475E7"/>
    <w:rsid w:val="00FB095E"/>
    <w:rsid w:val="00FB227A"/>
    <w:rsid w:val="00FB6E9E"/>
    <w:rsid w:val="039523EE"/>
    <w:rsid w:val="0B8E1573"/>
    <w:rsid w:val="0D8C0AC9"/>
    <w:rsid w:val="10B675FD"/>
    <w:rsid w:val="10D416D4"/>
    <w:rsid w:val="13760AF9"/>
    <w:rsid w:val="149C635D"/>
    <w:rsid w:val="16624C0B"/>
    <w:rsid w:val="170C4D57"/>
    <w:rsid w:val="1F854242"/>
    <w:rsid w:val="21FF6ED4"/>
    <w:rsid w:val="291F7A9F"/>
    <w:rsid w:val="2B9A7696"/>
    <w:rsid w:val="30BA5315"/>
    <w:rsid w:val="32454391"/>
    <w:rsid w:val="32E6443E"/>
    <w:rsid w:val="34156472"/>
    <w:rsid w:val="39F36281"/>
    <w:rsid w:val="438D34E4"/>
    <w:rsid w:val="4F4B26A6"/>
    <w:rsid w:val="5A6A0A65"/>
    <w:rsid w:val="5C502E84"/>
    <w:rsid w:val="5D7A67FD"/>
    <w:rsid w:val="7E47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Batang" w:cs="Times New Roman"/>
      <w:sz w:val="28"/>
      <w:szCs w:val="28"/>
      <w:lang w:val="en-GB" w:eastAsia="ko-KR"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8"/>
    <w:qFormat/>
    <w:uiPriority w:val="99"/>
    <w:pPr>
      <w:tabs>
        <w:tab w:val="center" w:pos="4680"/>
        <w:tab w:val="right" w:pos="9360"/>
      </w:tabs>
    </w:pPr>
  </w:style>
  <w:style w:type="paragraph" w:styleId="5">
    <w:name w:val="Normal (Web)"/>
    <w:basedOn w:val="1"/>
    <w:link w:val="9"/>
    <w:unhideWhenUsed/>
    <w:qFormat/>
    <w:uiPriority w:val="99"/>
    <w:pPr>
      <w:spacing w:before="100" w:beforeAutospacing="1" w:after="100" w:afterAutospacing="1"/>
    </w:pPr>
    <w:rPr>
      <w:rFonts w:eastAsia="Times New Roman"/>
      <w:sz w:val="24"/>
      <w:szCs w:val="24"/>
      <w:lang w:val="en-US" w:eastAsia="zh-CN"/>
    </w:r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oan"/>
    <w:basedOn w:val="1"/>
    <w:qFormat/>
    <w:uiPriority w:val="0"/>
    <w:pPr>
      <w:widowControl w:val="0"/>
      <w:spacing w:before="120"/>
      <w:ind w:firstLine="720"/>
      <w:jc w:val="both"/>
    </w:pPr>
    <w:rPr>
      <w:rFonts w:eastAsia="Times New Roman"/>
      <w:color w:val="000000"/>
      <w:szCs w:val="20"/>
      <w:lang w:val="en-US" w:eastAsia="en-US"/>
    </w:rPr>
  </w:style>
  <w:style w:type="character" w:customStyle="1" w:styleId="8">
    <w:name w:val="Header Char"/>
    <w:basedOn w:val="2"/>
    <w:link w:val="4"/>
    <w:qFormat/>
    <w:uiPriority w:val="99"/>
    <w:rPr>
      <w:rFonts w:eastAsia="Batang" w:cs="Times New Roman"/>
      <w:sz w:val="28"/>
      <w:szCs w:val="28"/>
      <w:lang w:val="en-GB" w:eastAsia="ko-KR"/>
    </w:rPr>
  </w:style>
  <w:style w:type="character" w:customStyle="1" w:styleId="9">
    <w:name w:val="Normal (Web) Char1"/>
    <w:link w:val="5"/>
    <w:qFormat/>
    <w:locked/>
    <w:uiPriority w:val="99"/>
    <w:rPr>
      <w:rFonts w:eastAsia="Times New Roman" w:cs="Times New Roman"/>
      <w:szCs w:val="24"/>
      <w:lang w:eastAsia="zh-CN"/>
    </w:rPr>
  </w:style>
  <w:style w:type="character" w:customStyle="1" w:styleId="10">
    <w:name w:val="fontstyle01"/>
    <w:qFormat/>
    <w:uiPriority w:val="0"/>
    <w:rPr>
      <w:rFonts w:hint="default" w:ascii="Times New Roman" w:hAnsi="Times New Roman" w:cs="Times New Roman"/>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E4417C-FEA6-4C48-9CEA-01F7AC9F6DD6}">
  <ds:schemaRefs/>
</ds:datastoreItem>
</file>

<file path=docProps/app.xml><?xml version="1.0" encoding="utf-8"?>
<Properties xmlns="http://schemas.openxmlformats.org/officeDocument/2006/extended-properties" xmlns:vt="http://schemas.openxmlformats.org/officeDocument/2006/docPropsVTypes">
  <Template>Normal</Template>
  <Pages>7</Pages>
  <Words>1847</Words>
  <Characters>6799</Characters>
  <Lines>33</Lines>
  <Paragraphs>9</Paragraphs>
  <TotalTime>0</TotalTime>
  <ScaleCrop>false</ScaleCrop>
  <LinksUpToDate>false</LinksUpToDate>
  <CharactersWithSpaces>8629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2026-01-21T07:14:00Z</dcterms:created>
  <dc:creator>Admin</dc:creator>
  <cp:lastModifiedBy>Admin</cp:lastModifiedBy>
  <dcterms:modified xsi:type="dcterms:W3CDTF">2026-06-29T03:31:29Z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eyJoZGlkIjoiMmFhYmQzMDZhMDY3ZDBlMmFiNTRiNDYxN2M0NDUyYmUifQ==</vt:lpwstr>
  </property>
  <property fmtid="{D5CDD505-2E9C-101B-9397-08002B2CF9AE}" pid="3" name="KSOProductBuildVer">
    <vt:lpwstr>1033-12.1.0.26880</vt:lpwstr>
  </property>
  <property fmtid="{D5CDD505-2E9C-101B-9397-08002B2CF9AE}" pid="4" name="ICV">
    <vt:lpwstr>25C862E8FEB647E7B22F54082492308F_12</vt:lpwstr>
  </property>
</Properties>
</file>